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tabs>
          <w:tab w:val="left" w:pos="301" w:leader="none"/>
        </w:tabs>
        <w:rPr>
          <w:rFonts w:ascii="Times New Roman" w:hAnsi="Times New Roman"/>
          <w:b/>
          <w:sz w:val="24"/>
          <w:szCs w:val="24"/>
        </w:rPr>
      </w:pPr>
      <w:r>
        <w:t xml:space="preserve">  </w:t>
      </w:r>
      <w:bookmarkStart w:id="0" w:name="_GoBack"/>
      <w:r/>
      <w:bookmarkEnd w:id="0"/>
      <w:r>
        <w:rPr>
          <w:rFonts w:ascii="Times New Roman" w:hAnsi="Times New Roman" w:eastAsia="Times New Roman"/>
          <w:b/>
          <w:sz w:val="24"/>
          <w:szCs w:val="24"/>
        </w:rPr>
        <w:t xml:space="preserve">Положение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к</w:t>
      </w:r>
      <w:r>
        <w:rPr>
          <w:rFonts w:ascii="Times New Roman" w:hAnsi="Times New Roman"/>
          <w:b/>
          <w:sz w:val="24"/>
          <w:szCs w:val="24"/>
        </w:rPr>
        <w:t xml:space="preserve">онкурс</w:t>
      </w:r>
      <w:r>
        <w:rPr>
          <w:rFonts w:ascii="Times New Roman" w:hAnsi="Times New Roman"/>
          <w:b/>
          <w:sz w:val="24"/>
          <w:szCs w:val="24"/>
        </w:rPr>
        <w:t xml:space="preserve">а</w:t>
      </w:r>
      <w:r>
        <w:rPr>
          <w:rFonts w:ascii="Times New Roman" w:hAnsi="Times New Roman"/>
          <w:b/>
          <w:sz w:val="24"/>
          <w:szCs w:val="24"/>
        </w:rPr>
        <w:t xml:space="preserve"> профессионального мастерства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left" w:pos="301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</w:t>
      </w:r>
      <w:r>
        <w:rPr>
          <w:rFonts w:ascii="Times New Roman" w:hAnsi="Times New Roman"/>
          <w:b/>
          <w:sz w:val="24"/>
          <w:szCs w:val="24"/>
        </w:rPr>
        <w:t xml:space="preserve">Лучшая методическая разработка дидактической игры, пособия по развитию речи детей дошкольного возраста»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1. Общие положения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1.1.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Настоящее Положение регламентирует порядок проведения конкурса «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Лучшая дидактическая игра/пособие по развитию речи»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среди воспи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тателей всех возрастных групп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муниципального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дошкольн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образовательн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учреждени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я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«Детский сад № 100 комбинированного вида»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(далее именуется - Конкурс).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2. Цель конкурса: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о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птимизация процесса создания дидактического оснащения педагогического процесса, развивающей предметно-пространственной среды к образовательной области «Речевое развитие».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Задачи: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1. Содействовать распространению лучшего опыта работы педагогов ДОУ в рамках реализации образовательной области «Речевое развитие».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2. Повысить уровень и качество работы с детьми по развитию речи на индивидуальных занятиях и непосредственно-организованной деятельности.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3. Выявление и поддержка педагогических инициатив.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4. Стимулирование творческой активности педагогов в ходе создания дидактических материалов и пособий по развитию речи.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3. Участники конкурса.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 конкурсе принимают участие воспитатели всех возраст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ных групп, специалисты детск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ого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сад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4. Условия и основные требования: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4.1. Конкурс проводится в одной номинации.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4.2. Участники конкурса представляют дидактическую игру/пособия по развитию речи авторской разработки.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4.3. Представленная игра и игровые упражнения должны иметь название, цель, описание (краткий ход игры).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4.4. Дидактические пособия должны быть разработаны с учетом возрастных особенностей детей.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4.5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Применение дидактических пособий должно обеспечивать качество реализации программы, возможность индивидуализации обучения, организацию </w:t>
      </w:r>
      <w:hyperlink r:id="rId10" w:tooltip="Образовательная деятельность" w:history="1">
        <w:r>
          <w:rPr>
            <w:rStyle w:val="845"/>
            <w:rFonts w:ascii="Times New Roman" w:hAnsi="Times New Roman" w:eastAsia="Times New Roman"/>
            <w:color w:val="auto"/>
            <w:sz w:val="24"/>
            <w:szCs w:val="24"/>
            <w:u w:val="none"/>
            <w:lang w:eastAsia="ru-RU"/>
          </w:rPr>
          <w:t xml:space="preserve">образовательной деятельности</w:t>
        </w:r>
      </w:hyperlink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 с широким использованием современных педагогических технологий по развитию речи у детей дошкольного возраста.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4.6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Дидактические материалы и пособия должны быть эстетически оформлены, безопасны в использовании.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4.7.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Пособия могут быть выполнены в виде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 книг,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азбук,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альбомов,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игрушек-самоделок,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лого-кубов, стендов,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лепбуков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 ИКТ - пособий и др.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5. Порядок проведения конкурса: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5.1. Конкурс проводится с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20 января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по </w:t>
      </w:r>
      <w:hyperlink r:id="rId11" w:tooltip="10 февраля" w:history="1">
        <w:r>
          <w:rPr>
            <w:rStyle w:val="845"/>
            <w:rFonts w:ascii="Times New Roman" w:hAnsi="Times New Roman" w:eastAsia="Times New Roman"/>
            <w:color w:val="auto"/>
            <w:sz w:val="24"/>
            <w:szCs w:val="24"/>
            <w:u w:val="none"/>
            <w:lang w:eastAsia="ru-RU"/>
          </w:rPr>
          <w:t xml:space="preserve">04</w:t>
        </w:r>
        <w:r>
          <w:rPr>
            <w:rStyle w:val="845"/>
            <w:rFonts w:ascii="Times New Roman" w:hAnsi="Times New Roman" w:eastAsia="Times New Roman"/>
            <w:color w:val="auto"/>
            <w:sz w:val="24"/>
            <w:szCs w:val="24"/>
            <w:u w:val="none"/>
            <w:lang w:eastAsia="ru-RU"/>
          </w:rPr>
          <w:t xml:space="preserve"> февраля</w:t>
        </w:r>
      </w:hyperlink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 2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025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года: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hint="eastAsia" w:ascii="MS Mincho" w:hAnsi="MS Mincho" w:eastAsia="MS Mincho" w:cs="MS Mincho"/>
          <w:sz w:val="24"/>
          <w:szCs w:val="24"/>
          <w:lang w:eastAsia="ru-RU"/>
        </w:rPr>
        <w:t xml:space="preserve">✓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конкурсные работы принимаются с </w:t>
      </w:r>
      <w:hyperlink r:id="rId12" w:tooltip="1 февраля" w:history="1">
        <w:r>
          <w:rPr>
            <w:rStyle w:val="845"/>
            <w:rFonts w:ascii="Times New Roman" w:hAnsi="Times New Roman" w:eastAsia="Times New Roman"/>
            <w:color w:val="auto"/>
            <w:sz w:val="24"/>
            <w:szCs w:val="24"/>
            <w:u w:val="none"/>
            <w:lang w:eastAsia="ru-RU"/>
          </w:rPr>
          <w:t xml:space="preserve">05</w:t>
        </w:r>
        <w:r>
          <w:rPr>
            <w:rStyle w:val="845"/>
            <w:rFonts w:ascii="Times New Roman" w:hAnsi="Times New Roman" w:eastAsia="Times New Roman"/>
            <w:color w:val="auto"/>
            <w:sz w:val="24"/>
            <w:szCs w:val="24"/>
            <w:u w:val="none"/>
            <w:lang w:eastAsia="ru-RU"/>
          </w:rPr>
          <w:t xml:space="preserve"> февраля</w:t>
        </w:r>
      </w:hyperlink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 по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07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февраля 20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25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года;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hint="eastAsia" w:ascii="MS Mincho" w:hAnsi="MS Mincho" w:eastAsia="MS Mincho" w:cs="MS Mincho"/>
          <w:sz w:val="24"/>
          <w:szCs w:val="24"/>
          <w:lang w:eastAsia="ru-RU"/>
        </w:rPr>
        <w:t xml:space="preserve">✓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работа жюри по изучению конкурсных материалов – </w:t>
      </w:r>
      <w:hyperlink r:id="rId13" w:tooltip="8 февраля" w:history="1">
        <w:r>
          <w:rPr>
            <w:rStyle w:val="845"/>
            <w:rFonts w:ascii="Times New Roman" w:hAnsi="Times New Roman" w:eastAsia="Times New Roman"/>
            <w:color w:val="auto"/>
            <w:sz w:val="24"/>
            <w:szCs w:val="24"/>
            <w:u w:val="none"/>
            <w:lang w:eastAsia="ru-RU"/>
          </w:rPr>
          <w:t xml:space="preserve">10 </w:t>
        </w:r>
        <w:r>
          <w:rPr>
            <w:rStyle w:val="845"/>
            <w:rFonts w:ascii="Times New Roman" w:hAnsi="Times New Roman" w:eastAsia="Times New Roman"/>
            <w:color w:val="auto"/>
            <w:sz w:val="24"/>
            <w:szCs w:val="24"/>
            <w:u w:val="none"/>
            <w:lang w:eastAsia="ru-RU"/>
          </w:rPr>
          <w:t xml:space="preserve">февраля</w:t>
        </w:r>
      </w:hyperlink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 20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25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года.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6. Критерии оценки работ: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tbl>
      <w:tblPr>
        <w:tblStyle w:val="847"/>
        <w:tblW w:w="0" w:type="auto"/>
        <w:tblLook w:val="04A0" w:firstRow="1" w:lastRow="0" w:firstColumn="1" w:lastColumn="0" w:noHBand="0" w:noVBand="1"/>
      </w:tblPr>
      <w:tblGrid>
        <w:gridCol w:w="8767"/>
        <w:gridCol w:w="1653"/>
      </w:tblGrid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contextualSpacing/>
              <w:ind w:right="30"/>
              <w:jc w:val="center"/>
              <w:spacing w:before="375" w:after="450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Показатели смотра конкурса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/>
              <w:jc w:val="center"/>
              <w:spacing w:before="375" w:after="450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Балл/оценка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contextualSpacing/>
              <w:ind w:right="30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1. Название дидактической игры по развитию речи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 w:firstLine="567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0-3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contextualSpacing/>
              <w:ind w:right="30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2. Соответствие содержание игры требованиям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образовательной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программы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 w:firstLine="567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0-3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Строгое соответствие содержания физиологическим и психолого-педагогическим особенностям формирования детской речи в норме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 w:firstLine="567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0-5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4.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Соответствие материалов возрасту детей группы, их направленность на развитие речевых и психических функций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 w:firstLine="567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0-5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Обеспечение разнообразной речевой активности детей под руководством взрослых: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left="30" w:right="30" w:firstLine="567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 Формирование словаря (кроме подготовительных групп)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left="30" w:right="30"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 Формирование </w:t>
            </w:r>
            <w:hyperlink r:id="rId14" w:tooltip="Грамматический строй" w:history="1">
              <w:r>
                <w:rPr>
                  <w:rStyle w:val="845"/>
                  <w:rFonts w:ascii="Times New Roman" w:hAnsi="Times New Roman" w:eastAsia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грамматического строя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 речи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left="30" w:right="30" w:firstLine="567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 Связная речь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left="30" w:right="30" w:firstLine="567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Подготовка к обучению грамоте (для подготовительных групп)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 w:firstLine="567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0-10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6. Разнообразность и доступность дидактического материала для самостоятельной деятельности детей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 w:firstLine="567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0-5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7. Творческие находки авторов. Оригинальность выполнения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 w:firstLine="567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0-5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contextualSpacing/>
              <w:ind w:right="30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8. Композиционное и цветовое решение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 w:firstLine="567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0-5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9. Разнообразие использованного материала в представленной дидактической игре, пособии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 w:firstLine="567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0-5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contextualSpacing/>
              <w:ind w:right="30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10. Поощрительный балл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contextualSpacing/>
              <w:ind w:left="30" w:right="30" w:firstLine="567"/>
              <w:jc w:val="both"/>
              <w:spacing w:before="375" w:after="45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0-1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7. Руководство конкурсом.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7.1. Организатором конкурса являет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Детский сад № 100 комбинированного вида».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.2. Члены жюри: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Старший воспитатель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Гилязова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Н.В.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Малухина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Т.О.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учитель-логопед;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Аушева Н.О.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учитель-логопед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Сухарева Т.С.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воспитат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ель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7.3. Полномочия жюри: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hint="eastAsia" w:ascii="MS Mincho" w:hAnsi="MS Mincho" w:eastAsia="MS Mincho" w:cs="MS Mincho"/>
          <w:sz w:val="24"/>
          <w:szCs w:val="24"/>
          <w:lang w:eastAsia="ru-RU"/>
        </w:rPr>
        <w:t xml:space="preserve">✓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члены жюри могут присуждать поощрительные призы.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8. Подведение итогов Конкурса.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8.1. Итоги конкурса подводятся членами жюри.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8.2. Победители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награждаются грамотами.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8.3. Всем участникам конкурса вручаются Сертификаты участия.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jc w:val="both"/>
        <w:spacing w:before="375" w:after="45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1" w:bottom="1134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603050405090304"/>
  </w:font>
  <w:font w:name="Georgia">
    <w:panose1 w:val="0204050305040603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1"/>
    <w:next w:val="841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2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1"/>
    <w:next w:val="841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2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1"/>
    <w:next w:val="841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2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1"/>
    <w:next w:val="841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2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1"/>
    <w:next w:val="841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2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1"/>
    <w:next w:val="841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2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1"/>
    <w:next w:val="841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2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1"/>
    <w:next w:val="841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1"/>
    <w:next w:val="841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2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No Spacing"/>
    <w:uiPriority w:val="1"/>
    <w:qFormat/>
    <w:pPr>
      <w:spacing w:before="0" w:after="0" w:line="240" w:lineRule="auto"/>
    </w:pPr>
  </w:style>
  <w:style w:type="paragraph" w:styleId="685">
    <w:name w:val="Title"/>
    <w:basedOn w:val="841"/>
    <w:next w:val="841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2"/>
    <w:link w:val="685"/>
    <w:uiPriority w:val="10"/>
    <w:rPr>
      <w:sz w:val="48"/>
      <w:szCs w:val="48"/>
    </w:rPr>
  </w:style>
  <w:style w:type="paragraph" w:styleId="687">
    <w:name w:val="Subtitle"/>
    <w:basedOn w:val="841"/>
    <w:next w:val="841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2"/>
    <w:link w:val="687"/>
    <w:uiPriority w:val="11"/>
    <w:rPr>
      <w:sz w:val="24"/>
      <w:szCs w:val="24"/>
    </w:rPr>
  </w:style>
  <w:style w:type="paragraph" w:styleId="689">
    <w:name w:val="Quote"/>
    <w:basedOn w:val="841"/>
    <w:next w:val="841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1"/>
    <w:next w:val="841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paragraph" w:styleId="693">
    <w:name w:val="Header"/>
    <w:basedOn w:val="841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Header Char"/>
    <w:basedOn w:val="842"/>
    <w:link w:val="693"/>
    <w:uiPriority w:val="99"/>
  </w:style>
  <w:style w:type="paragraph" w:styleId="695">
    <w:name w:val="Footer"/>
    <w:basedOn w:val="841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Footer Char"/>
    <w:basedOn w:val="842"/>
    <w:link w:val="695"/>
    <w:uiPriority w:val="99"/>
  </w:style>
  <w:style w:type="paragraph" w:styleId="697">
    <w:name w:val="Caption"/>
    <w:basedOn w:val="841"/>
    <w:next w:val="8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8">
    <w:name w:val="Caption Char"/>
    <w:basedOn w:val="697"/>
    <w:link w:val="695"/>
    <w:uiPriority w:val="99"/>
  </w:style>
  <w:style w:type="table" w:styleId="699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8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9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0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1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2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3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2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2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  <w:rPr>
      <w:rFonts w:ascii="Calibri" w:hAnsi="Calibri" w:eastAsia="Calibri" w:cs="Times New Roman"/>
    </w:rPr>
  </w:style>
  <w:style w:type="character" w:styleId="842" w:default="1">
    <w:name w:val="Default Paragraph Font"/>
    <w:uiPriority w:val="1"/>
    <w:semiHidden/>
    <w:unhideWhenUsed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character" w:styleId="845">
    <w:name w:val="Hyperlink"/>
    <w:basedOn w:val="842"/>
    <w:uiPriority w:val="99"/>
    <w:semiHidden/>
    <w:unhideWhenUsed/>
    <w:rPr>
      <w:color w:val="0000ff"/>
      <w:u w:val="single"/>
    </w:rPr>
  </w:style>
  <w:style w:type="table" w:styleId="846">
    <w:name w:val="Grid Table Light"/>
    <w:basedOn w:val="843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847">
    <w:name w:val="Table Grid"/>
    <w:basedOn w:val="84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8">
    <w:name w:val="List Paragraph"/>
    <w:basedOn w:val="841"/>
    <w:uiPriority w:val="34"/>
    <w:qFormat/>
    <w:pPr>
      <w:contextualSpacing/>
      <w:ind w:left="720" w:hanging="370"/>
      <w:jc w:val="both"/>
      <w:spacing w:after="29" w:line="248" w:lineRule="auto"/>
    </w:pPr>
    <w:rPr>
      <w:rFonts w:ascii="Georgia" w:hAnsi="Georgia" w:eastAsia="Georgia" w:cs="Georgia"/>
      <w:color w:val="000000"/>
      <w:sz w:val="2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://www.pandia.ru/text/category/obrazovatelmznaya_deyatelmznostmz/" TargetMode="External"/><Relationship Id="rId11" Type="http://schemas.openxmlformats.org/officeDocument/2006/relationships/hyperlink" Target="http://www.pandia.ru/text/category/10_fevralya/" TargetMode="External"/><Relationship Id="rId12" Type="http://schemas.openxmlformats.org/officeDocument/2006/relationships/hyperlink" Target="http://www.pandia.ru/text/category/1_fevralya/" TargetMode="External"/><Relationship Id="rId13" Type="http://schemas.openxmlformats.org/officeDocument/2006/relationships/hyperlink" Target="http://www.pandia.ru/text/category/8_fevralya/" TargetMode="External"/><Relationship Id="rId14" Type="http://schemas.openxmlformats.org/officeDocument/2006/relationships/hyperlink" Target="http://pandia.ru/text/category/grammaticheskij_stroj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Азиева</cp:lastModifiedBy>
  <cp:revision>13</cp:revision>
  <dcterms:created xsi:type="dcterms:W3CDTF">2018-10-12T05:09:00Z</dcterms:created>
  <dcterms:modified xsi:type="dcterms:W3CDTF">2025-02-02T04:01:13Z</dcterms:modified>
</cp:coreProperties>
</file>