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01" w:leader="none"/>
        </w:tabs>
        <w:rPr>
          <w:rFonts w:ascii="Times New Roman" w:hAnsi="Times New Roman"/>
          <w:b/>
          <w:sz w:val="24"/>
          <w:szCs w:val="24"/>
        </w:rPr>
      </w:pPr>
      <w:r>
        <w:t xml:space="preserve">  </w:t>
      </w:r>
      <w:bookmarkStart w:id="0" w:name="_GoBack"/>
      <w:r/>
      <w:bookmarkEnd w:id="0"/>
      <w:r>
        <w:rPr>
          <w:rFonts w:ascii="Times New Roman" w:hAnsi="Times New Roman" w:eastAsia="Times New Roman"/>
          <w:b/>
          <w:sz w:val="24"/>
          <w:szCs w:val="24"/>
        </w:rPr>
        <w:t xml:space="preserve">Положение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</w:t>
      </w:r>
      <w:r>
        <w:rPr>
          <w:rFonts w:ascii="Times New Roman" w:hAnsi="Times New Roman"/>
          <w:b/>
          <w:sz w:val="24"/>
          <w:szCs w:val="24"/>
        </w:rPr>
        <w:t xml:space="preserve">онкурс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 профессионального мастерства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301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Лучшая методическая разработка дидактической игры, пособия по развитию речи детей дошкольного возраста»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1. Общие положения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Настоящее Положение регламентирует порядок проведения конкурса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Лучшая дидактическая игра/пособие по развитию речи»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среди воспи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тателей всех возрастных групп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дошкольн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учреждени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«Детский сад № 100 комбинированного вида»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(далее именуется - Конкурс).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 Цель конкурса: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птимизация процесса создания дидактического оснащения педагогического процесса, развивающей предметно-пространственной среды к образовательной области «Речевое развитие».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Задачи: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Содействовать распространению лучшего опыта работы педагогов ДОУ в рамках реализации образовательной области «Речевое развитие».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Повысить уровень и качество работы с детьми по развитию речи на индивидуальных занятиях и непосредственно-организованной деятельности.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Выявление и поддержка педагогических инициатив.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Стимулирование творческой активности педагогов в ходе создания дидактических материалов и пособий по развитию речи.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3. Участники конкурса.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конкурсе принимают участие воспитатели всех возраст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ных групп, специалисты детск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сад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4. Условия и основные требования: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4.1. Конкурс проводится в одной номинации.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4.2. Участники конкурса представляют дидактическую игру/пособия по развитию речи авторской разработки.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4.3. Представленная игра и игровые упражнения должны иметь название, цель, описание (краткий ход игры).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4.4. Дидактические пособия должны быть разработаны с учетом возрастных особенностей детей.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Применение дидактических пособий должно обеспечивать качество реализации программы, возможность индивидуализации обучения, организацию </w:t>
      </w:r>
      <w:hyperlink r:id="rId10" w:tooltip="Образовательная деятельность" w:history="1">
        <w:r>
          <w:rPr>
            <w:rStyle w:val="845"/>
            <w:rFonts w:ascii="Times New Roman" w:hAnsi="Times New Roman" w:eastAsia="Times New Roman"/>
            <w:color w:val="auto"/>
            <w:sz w:val="24"/>
            <w:szCs w:val="24"/>
            <w:u w:val="none"/>
            <w:lang w:eastAsia="ru-RU"/>
          </w:rPr>
          <w:t xml:space="preserve">образовательной деятельности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с широким использованием современных педагогических технологий по развитию речи у детей дошкольного возраста.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Дидактические материалы и пособия должны быть эстетически оформлены, безопасны в использовании.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4.7.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Пособия могут быть выполнены в виде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книг,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азбук,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альбомов,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игрушек-самоделок,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лого-кубов, стендов,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лепбуков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ИКТ - пособий и др.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5. Порядок проведения конкурса: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5.1. Конкурс проводится с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 января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 </w:t>
      </w:r>
      <w:hyperlink r:id="rId11" w:tooltip="10 февраля" w:history="1">
        <w:r>
          <w:rPr>
            <w:rStyle w:val="845"/>
            <w:rFonts w:ascii="Times New Roman" w:hAnsi="Times New Roman" w:eastAsia="Times New Roman"/>
            <w:color w:val="auto"/>
            <w:sz w:val="24"/>
            <w:szCs w:val="24"/>
            <w:u w:val="none"/>
            <w:lang w:eastAsia="ru-RU"/>
          </w:rPr>
          <w:t xml:space="preserve">04</w:t>
        </w:r>
        <w:r>
          <w:rPr>
            <w:rStyle w:val="845"/>
            <w:rFonts w:ascii="Times New Roman" w:hAnsi="Times New Roman" w:eastAsia="Times New Roman"/>
            <w:color w:val="auto"/>
            <w:sz w:val="24"/>
            <w:szCs w:val="24"/>
            <w:u w:val="none"/>
            <w:lang w:eastAsia="ru-RU"/>
          </w:rPr>
          <w:t xml:space="preserve"> февраля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eastAsia" w:ascii="MS Mincho" w:hAnsi="MS Mincho" w:eastAsia="MS Mincho" w:cs="MS Mincho"/>
          <w:sz w:val="24"/>
          <w:szCs w:val="24"/>
          <w:lang w:eastAsia="ru-RU"/>
        </w:rPr>
        <w:t xml:space="preserve">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конкурсные работы принимаются с </w:t>
      </w:r>
      <w:hyperlink r:id="rId12" w:tooltip="1 февраля" w:history="1">
        <w:r>
          <w:rPr>
            <w:rStyle w:val="845"/>
            <w:rFonts w:ascii="Times New Roman" w:hAnsi="Times New Roman" w:eastAsia="Times New Roman"/>
            <w:color w:val="auto"/>
            <w:sz w:val="24"/>
            <w:szCs w:val="24"/>
            <w:u w:val="none"/>
            <w:lang w:eastAsia="ru-RU"/>
          </w:rPr>
          <w:t xml:space="preserve">05</w:t>
        </w:r>
        <w:r>
          <w:rPr>
            <w:rStyle w:val="845"/>
            <w:rFonts w:ascii="Times New Roman" w:hAnsi="Times New Roman" w:eastAsia="Times New Roman"/>
            <w:color w:val="auto"/>
            <w:sz w:val="24"/>
            <w:szCs w:val="24"/>
            <w:u w:val="none"/>
            <w:lang w:eastAsia="ru-RU"/>
          </w:rPr>
          <w:t xml:space="preserve"> февраля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по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февраля 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eastAsia" w:ascii="MS Mincho" w:hAnsi="MS Mincho" w:eastAsia="MS Mincho" w:cs="MS Mincho"/>
          <w:sz w:val="24"/>
          <w:szCs w:val="24"/>
          <w:lang w:eastAsia="ru-RU"/>
        </w:rPr>
        <w:t xml:space="preserve">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работа жюри по изучению конкурсных материалов – </w:t>
      </w:r>
      <w:hyperlink r:id="rId13" w:tooltip="8 февраля" w:history="1">
        <w:r>
          <w:rPr>
            <w:rStyle w:val="845"/>
            <w:rFonts w:ascii="Times New Roman" w:hAnsi="Times New Roman" w:eastAsia="Times New Roman"/>
            <w:color w:val="auto"/>
            <w:sz w:val="24"/>
            <w:szCs w:val="24"/>
            <w:u w:val="none"/>
            <w:lang w:eastAsia="ru-RU"/>
          </w:rPr>
          <w:t xml:space="preserve">10 </w:t>
        </w:r>
        <w:r>
          <w:rPr>
            <w:rStyle w:val="845"/>
            <w:rFonts w:ascii="Times New Roman" w:hAnsi="Times New Roman" w:eastAsia="Times New Roman"/>
            <w:color w:val="auto"/>
            <w:sz w:val="24"/>
            <w:szCs w:val="24"/>
            <w:u w:val="none"/>
            <w:lang w:eastAsia="ru-RU"/>
          </w:rPr>
          <w:t xml:space="preserve">февраля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6. Критерии оценки работ: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8767"/>
        <w:gridCol w:w="1653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right="30"/>
              <w:jc w:val="center"/>
              <w:spacing w:before="375" w:after="45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Показатели смотра конкурса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/>
              <w:jc w:val="center"/>
              <w:spacing w:before="375" w:after="45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Балл/оценка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Название дидактической игры по развитию речи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Соответствие содержание игры требованиям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образовательной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Строгое соответствие содержания физиологическим и психолого-педагогическим особенностям формирования детской речи в норме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Соответствие материалов возрасту детей группы, их направленность на развитие речевых и психических функций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разнообразной речевой активности детей под руководством взрослых: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Формирование словаря (кроме подготовительных групп)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left="30" w:right="30" w:firstLine="56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Формирование </w:t>
            </w:r>
            <w:hyperlink r:id="rId14" w:tooltip="Грамматический строй" w:history="1">
              <w:r>
                <w:rPr>
                  <w:rStyle w:val="845"/>
                  <w:rFonts w:ascii="Times New Roman" w:hAnsi="Times New Roman" w:eastAsia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грамматического строя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речи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Связная речь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Подготовка к обучению грамоте (для подготовительных групп)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Разнообразность и доступность дидактического материала для самостоятельной деятельности детей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Творческие находки авторов. Оригинальность выполнения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Композиционное и цветовое решение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Разнообразие использованного материала в представленной дидактической игре, пособии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ind w:right="30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Поощрительный балл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30" w:right="30" w:firstLine="567"/>
              <w:jc w:val="both"/>
              <w:spacing w:before="375" w:after="45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0-1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7. Руководство конкурсом.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7.1. Организатором конкурса являет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Детский сад № 100 комбинированного вида».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.2. Члены жюри: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Старший воспитатель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Гилязова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Н.В.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Малухина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Т.О.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учитель-логопед;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Аушева Н.О.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учитель-логопед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Сухарева Т.С.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воспитат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7.3. Полномочия жюри: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eastAsia" w:ascii="MS Mincho" w:hAnsi="MS Mincho" w:eastAsia="MS Mincho" w:cs="MS Mincho"/>
          <w:sz w:val="24"/>
          <w:szCs w:val="24"/>
          <w:lang w:eastAsia="ru-RU"/>
        </w:rPr>
        <w:t xml:space="preserve">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члены жюри могут присуждать поощрительные призы.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8. Подведение итогов Конкурса.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8.1. Итоги конкурса подводятся членами жюри.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8.2. Победители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награждаются грамотами.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8.3. Всем участникам конкурса вручаются Сертификаты участия.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before="375" w:after="45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Georg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1"/>
    <w:next w:val="841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2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1"/>
    <w:next w:val="841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2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2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2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2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2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2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2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1"/>
    <w:next w:val="841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2"/>
    <w:link w:val="685"/>
    <w:uiPriority w:val="10"/>
    <w:rPr>
      <w:sz w:val="48"/>
      <w:szCs w:val="48"/>
    </w:rPr>
  </w:style>
  <w:style w:type="paragraph" w:styleId="687">
    <w:name w:val="Subtitle"/>
    <w:basedOn w:val="841"/>
    <w:next w:val="841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2"/>
    <w:link w:val="687"/>
    <w:uiPriority w:val="11"/>
    <w:rPr>
      <w:sz w:val="24"/>
      <w:szCs w:val="24"/>
    </w:rPr>
  </w:style>
  <w:style w:type="paragraph" w:styleId="689">
    <w:name w:val="Quote"/>
    <w:basedOn w:val="841"/>
    <w:next w:val="841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1"/>
    <w:next w:val="841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2"/>
    <w:link w:val="693"/>
    <w:uiPriority w:val="99"/>
  </w:style>
  <w:style w:type="paragraph" w:styleId="695">
    <w:name w:val="Footer"/>
    <w:basedOn w:val="841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2"/>
    <w:link w:val="695"/>
    <w:uiPriority w:val="99"/>
  </w:style>
  <w:style w:type="paragraph" w:styleId="697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rPr>
      <w:rFonts w:ascii="Calibri" w:hAnsi="Calibri" w:eastAsia="Calibri" w:cs="Times New Roman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character" w:styleId="845">
    <w:name w:val="Hyperlink"/>
    <w:basedOn w:val="842"/>
    <w:uiPriority w:val="99"/>
    <w:semiHidden/>
    <w:unhideWhenUsed/>
    <w:rPr>
      <w:color w:val="0000ff"/>
      <w:u w:val="single"/>
    </w:rPr>
  </w:style>
  <w:style w:type="table" w:styleId="846">
    <w:name w:val="Grid Table Light"/>
    <w:basedOn w:val="843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847">
    <w:name w:val="Table Grid"/>
    <w:basedOn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>
    <w:name w:val="List Paragraph"/>
    <w:basedOn w:val="841"/>
    <w:uiPriority w:val="34"/>
    <w:qFormat/>
    <w:pPr>
      <w:contextualSpacing/>
      <w:ind w:left="720" w:hanging="370"/>
      <w:jc w:val="both"/>
      <w:spacing w:after="29" w:line="248" w:lineRule="auto"/>
    </w:pPr>
    <w:rPr>
      <w:rFonts w:ascii="Georgia" w:hAnsi="Georgia" w:eastAsia="Georgia" w:cs="Georgia"/>
      <w:color w:val="000000"/>
      <w:sz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andia.ru/text/category/obrazovatelmznaya_deyatelmznostmz/" TargetMode="External"/><Relationship Id="rId11" Type="http://schemas.openxmlformats.org/officeDocument/2006/relationships/hyperlink" Target="http://www.pandia.ru/text/category/10_fevralya/" TargetMode="External"/><Relationship Id="rId12" Type="http://schemas.openxmlformats.org/officeDocument/2006/relationships/hyperlink" Target="http://www.pandia.ru/text/category/1_fevralya/" TargetMode="External"/><Relationship Id="rId13" Type="http://schemas.openxmlformats.org/officeDocument/2006/relationships/hyperlink" Target="http://www.pandia.ru/text/category/8_fevralya/" TargetMode="External"/><Relationship Id="rId14" Type="http://schemas.openxmlformats.org/officeDocument/2006/relationships/hyperlink" Target="http://pandia.ru/text/category/grammaticheskij_stroj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Азиева</cp:lastModifiedBy>
  <cp:revision>13</cp:revision>
  <dcterms:created xsi:type="dcterms:W3CDTF">2018-10-12T05:09:00Z</dcterms:created>
  <dcterms:modified xsi:type="dcterms:W3CDTF">2025-02-02T04:01:13Z</dcterms:modified>
</cp:coreProperties>
</file>